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82E" w:rsidRDefault="000A082E" w:rsidP="000A082E">
      <w:pPr>
        <w:pStyle w:val="ConsPlusNormal"/>
        <w:ind w:firstLine="709"/>
      </w:pPr>
      <w:r>
        <w:t>Зарегистрировано в Национальном реестре правовых актов</w:t>
      </w:r>
    </w:p>
    <w:p w:rsidR="000A082E" w:rsidRDefault="000A082E" w:rsidP="000A082E">
      <w:pPr>
        <w:pStyle w:val="ConsPlusNormal"/>
        <w:ind w:firstLine="709"/>
      </w:pPr>
      <w:r>
        <w:t>Республики Беларусь 6 ноября 2020 г. N 8/36030</w:t>
      </w:r>
    </w:p>
    <w:p w:rsidR="000A082E" w:rsidRDefault="000A082E" w:rsidP="000A082E">
      <w:pPr>
        <w:pStyle w:val="ConsPlusNormal"/>
        <w:pBdr>
          <w:top w:val="single" w:sz="6" w:space="0" w:color="auto"/>
        </w:pBdr>
        <w:ind w:firstLine="709"/>
        <w:jc w:val="both"/>
        <w:rPr>
          <w:sz w:val="2"/>
          <w:szCs w:val="2"/>
        </w:rPr>
      </w:pPr>
    </w:p>
    <w:p w:rsidR="000A082E" w:rsidRDefault="000A082E" w:rsidP="000A082E">
      <w:pPr>
        <w:pStyle w:val="ConsPlusNormal"/>
        <w:ind w:firstLine="709"/>
      </w:pPr>
    </w:p>
    <w:p w:rsidR="000A082E" w:rsidRDefault="000A082E" w:rsidP="000A082E">
      <w:pPr>
        <w:pStyle w:val="ConsPlusTitle"/>
        <w:ind w:firstLine="709"/>
        <w:jc w:val="center"/>
      </w:pPr>
      <w:r>
        <w:t>ПОСТАНОВЛЕНИЕ МИНИСТЕРСТВА ЮСТИЦИИ РЕСПУБЛИКИ БЕЛАРУСЬ</w:t>
      </w:r>
    </w:p>
    <w:p w:rsidR="000A082E" w:rsidRDefault="000A082E" w:rsidP="000A082E">
      <w:pPr>
        <w:pStyle w:val="ConsPlusTitle"/>
        <w:ind w:firstLine="709"/>
        <w:jc w:val="center"/>
      </w:pPr>
      <w:r>
        <w:t>30 октября 2020 г. N 153-1</w:t>
      </w:r>
    </w:p>
    <w:p w:rsidR="000A082E" w:rsidRDefault="000A082E" w:rsidP="000A082E">
      <w:pPr>
        <w:pStyle w:val="ConsPlusTitle"/>
        <w:ind w:firstLine="709"/>
        <w:jc w:val="center"/>
      </w:pPr>
    </w:p>
    <w:p w:rsidR="000A082E" w:rsidRDefault="000A082E" w:rsidP="000A082E">
      <w:pPr>
        <w:pStyle w:val="ConsPlusTitle"/>
        <w:ind w:firstLine="709"/>
        <w:jc w:val="center"/>
      </w:pPr>
      <w:r>
        <w:t xml:space="preserve">ОБ ИНФОРМАЦИИ </w:t>
      </w:r>
      <w:bookmarkStart w:id="0" w:name="_GoBack"/>
      <w:bookmarkEnd w:id="0"/>
      <w:r>
        <w:t>О ДЕЯТЕЛЬНОСТИ ОБЩЕСТВЕННЫХ ОБЪЕДИНЕНИЙ И ФОНДОВ</w:t>
      </w:r>
    </w:p>
    <w:p w:rsidR="000A082E" w:rsidRDefault="000A082E" w:rsidP="000A082E">
      <w:pPr>
        <w:pStyle w:val="ConsPlusNormal"/>
        <w:ind w:firstLine="709"/>
      </w:pPr>
    </w:p>
    <w:p w:rsidR="000A082E" w:rsidRDefault="000A082E" w:rsidP="000A082E">
      <w:pPr>
        <w:pStyle w:val="ConsPlusNormal"/>
        <w:ind w:firstLine="709"/>
        <w:jc w:val="both"/>
      </w:pPr>
      <w:r>
        <w:t>На основании </w:t>
      </w:r>
      <w:hyperlink r:id="rId7" w:history="1">
        <w:r>
          <w:rPr>
            <w:color w:val="0000FF"/>
          </w:rPr>
          <w:t>статьи 9-2</w:t>
        </w:r>
      </w:hyperlink>
      <w:r>
        <w:t xml:space="preserve"> Закона Республики Беларусь от 30 июня 2014 г. N 165-З "О мерах по предотвращению легализации доходов, полученных преступным путем, финансирования террористической деятельности и финансирования распространения оружия массового поражения" Министерство юстиции Республики Беларусь ПОСТАНОВЛЯЕТ:</w:t>
      </w:r>
    </w:p>
    <w:p w:rsidR="000A082E" w:rsidRDefault="000A082E" w:rsidP="000A082E">
      <w:pPr>
        <w:pStyle w:val="ConsPlusNormal"/>
        <w:ind w:firstLine="709"/>
        <w:jc w:val="both"/>
      </w:pPr>
      <w:r>
        <w:t>1. Установить, что:</w:t>
      </w:r>
    </w:p>
    <w:p w:rsidR="000A082E" w:rsidRDefault="000A082E" w:rsidP="000A082E">
      <w:pPr>
        <w:pStyle w:val="ConsPlusNormal"/>
        <w:ind w:firstLine="709"/>
        <w:jc w:val="both"/>
      </w:pPr>
      <w:bookmarkStart w:id="1" w:name="P12"/>
      <w:bookmarkEnd w:id="1"/>
      <w:proofErr w:type="gramStart"/>
      <w:r>
        <w:t>1.1. общественные объединения и фонды ежегодно до 1 марта доводят до всеобщего сведения путем размещения в средствах массовой информации или на своих официальных сайтах в глобальной компьютерной сети Интернет (при их наличии) либо путем направления по месту государственной регистрации в Министерство юстиции, главные управления юстиции областных, Минского городского исполнительных комитетов (далее - орган юстиции) для последующего размещения на официальном сайте соответствующего</w:t>
      </w:r>
      <w:proofErr w:type="gramEnd"/>
      <w:r>
        <w:t xml:space="preserve"> органа юстиции в глобальной компьютерной сети Интернет информацию (отчетность) о:</w:t>
      </w:r>
    </w:p>
    <w:p w:rsidR="000A082E" w:rsidRDefault="000A082E" w:rsidP="000A082E">
      <w:pPr>
        <w:pStyle w:val="ConsPlusNormal"/>
        <w:ind w:firstLine="709"/>
        <w:jc w:val="both"/>
      </w:pPr>
      <w:r>
        <w:t>своей деятельности;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поступлении</w:t>
      </w:r>
      <w:proofErr w:type="gramEnd"/>
      <w:r>
        <w:t xml:space="preserve"> и расходовании денежных средств и иного имущества;</w:t>
      </w:r>
    </w:p>
    <w:p w:rsidR="000A082E" w:rsidRDefault="000A082E" w:rsidP="000A082E">
      <w:pPr>
        <w:pStyle w:val="ConsPlusNormal"/>
        <w:ind w:firstLine="709"/>
        <w:jc w:val="both"/>
      </w:pPr>
      <w:bookmarkStart w:id="2" w:name="P15"/>
      <w:bookmarkEnd w:id="2"/>
      <w:r>
        <w:t>1.2. для общественных объединений:</w:t>
      </w:r>
    </w:p>
    <w:p w:rsidR="000A082E" w:rsidRDefault="000A082E" w:rsidP="000A082E">
      <w:pPr>
        <w:pStyle w:val="ConsPlusNormal"/>
        <w:ind w:firstLine="709"/>
        <w:jc w:val="both"/>
      </w:pPr>
      <w:r>
        <w:t>1.2.1. отчетность об их деятельности содержит сведения о: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продолжении</w:t>
      </w:r>
      <w:proofErr w:type="gramEnd"/>
      <w:r>
        <w:t xml:space="preserve"> деятельности общественного объединения с указанием места нахождения руководящего органа;</w:t>
      </w:r>
    </w:p>
    <w:p w:rsidR="000A082E" w:rsidRDefault="000A082E" w:rsidP="000A082E">
      <w:pPr>
        <w:pStyle w:val="ConsPlusNormal"/>
        <w:ind w:firstLine="709"/>
        <w:jc w:val="both"/>
      </w:pPr>
      <w:r>
        <w:t>численности общественного объединения, его организационных структур;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мероприятиях</w:t>
      </w:r>
      <w:proofErr w:type="gramEnd"/>
      <w:r>
        <w:t>, проведенных в уставных целях общественным объединением за год;</w:t>
      </w:r>
    </w:p>
    <w:p w:rsidR="000A082E" w:rsidRDefault="000A082E" w:rsidP="000A082E">
      <w:pPr>
        <w:pStyle w:val="ConsPlusNormal"/>
        <w:ind w:firstLine="709"/>
        <w:jc w:val="both"/>
      </w:pPr>
      <w:r>
        <w:t>1.2.2. информация о поступлении денежных средств и иного имущества содержит сведения о (</w:t>
      </w:r>
      <w:proofErr w:type="gramStart"/>
      <w:r>
        <w:t>об</w:t>
      </w:r>
      <w:proofErr w:type="gramEnd"/>
      <w:r>
        <w:t>):</w:t>
      </w:r>
    </w:p>
    <w:p w:rsidR="000A082E" w:rsidRDefault="000A082E" w:rsidP="000A082E">
      <w:pPr>
        <w:pStyle w:val="ConsPlusNormal"/>
        <w:ind w:firstLine="709"/>
        <w:jc w:val="both"/>
      </w:pPr>
      <w:r>
        <w:t>общей сумме поступивших денежных средств и иного имущества;</w:t>
      </w:r>
    </w:p>
    <w:p w:rsidR="000A082E" w:rsidRDefault="000A082E" w:rsidP="000A082E">
      <w:pPr>
        <w:pStyle w:val="ConsPlusNormal"/>
        <w:ind w:firstLine="709"/>
        <w:jc w:val="both"/>
      </w:pPr>
      <w:r>
        <w:t xml:space="preserve">вступительных и членских </w:t>
      </w:r>
      <w:proofErr w:type="gramStart"/>
      <w:r>
        <w:t>взносах</w:t>
      </w:r>
      <w:proofErr w:type="gramEnd"/>
      <w:r>
        <w:t xml:space="preserve"> (если их уплата предусмотрена уставом общественного объединения);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поступлениях</w:t>
      </w:r>
      <w:proofErr w:type="gramEnd"/>
      <w:r>
        <w:t xml:space="preserve"> от проводимых в уставных целях лекций, выставок, спортивных и других мероприятий;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доходах</w:t>
      </w:r>
      <w:proofErr w:type="gramEnd"/>
      <w:r>
        <w:t xml:space="preserve"> от предпринимательской деятельности, осуществляемой в порядке, установленном </w:t>
      </w:r>
      <w:hyperlink r:id="rId8" w:history="1">
        <w:r>
          <w:rPr>
            <w:color w:val="0000FF"/>
          </w:rPr>
          <w:t>частью третьей статьи 20</w:t>
        </w:r>
      </w:hyperlink>
      <w:r>
        <w:t xml:space="preserve"> Закона Республики Беларусь от 4 октября 1994 г. N 3254-XII "Об общественных объединениях";</w:t>
      </w:r>
    </w:p>
    <w:p w:rsidR="000A082E" w:rsidRDefault="000A082E" w:rsidP="000A082E">
      <w:pPr>
        <w:pStyle w:val="ConsPlusNormal"/>
        <w:ind w:firstLine="709"/>
        <w:jc w:val="both"/>
      </w:pPr>
      <w:r>
        <w:t xml:space="preserve">добровольных </w:t>
      </w:r>
      <w:proofErr w:type="gramStart"/>
      <w:r>
        <w:t>пожертвованиях</w:t>
      </w:r>
      <w:proofErr w:type="gramEnd"/>
      <w:r>
        <w:t>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поступлениях</w:t>
      </w:r>
      <w:proofErr w:type="gramEnd"/>
      <w:r>
        <w:t xml:space="preserve"> от иностранных государств (организаций), международных организаций;</w:t>
      </w:r>
    </w:p>
    <w:p w:rsidR="000A082E" w:rsidRDefault="000A082E" w:rsidP="000A082E">
      <w:pPr>
        <w:pStyle w:val="ConsPlusNormal"/>
        <w:ind w:firstLine="709"/>
        <w:jc w:val="both"/>
      </w:pPr>
      <w:r>
        <w:lastRenderedPageBreak/>
        <w:t>иных источниках, не запрещенных законодательством;</w:t>
      </w:r>
    </w:p>
    <w:p w:rsidR="000A082E" w:rsidRDefault="000A082E" w:rsidP="000A082E">
      <w:pPr>
        <w:pStyle w:val="ConsPlusNormal"/>
        <w:ind w:firstLine="709"/>
        <w:jc w:val="both"/>
      </w:pPr>
      <w:r>
        <w:t>1.2.3. информация о расходовании денежных средств и иного имущества содержит сведения о (</w:t>
      </w:r>
      <w:proofErr w:type="gramStart"/>
      <w:r>
        <w:t>об</w:t>
      </w:r>
      <w:proofErr w:type="gramEnd"/>
      <w:r>
        <w:t>):</w:t>
      </w:r>
    </w:p>
    <w:p w:rsidR="000A082E" w:rsidRDefault="000A082E" w:rsidP="000A082E">
      <w:pPr>
        <w:pStyle w:val="ConsPlusNormal"/>
        <w:ind w:firstLine="709"/>
        <w:jc w:val="both"/>
      </w:pPr>
      <w:r>
        <w:t>общей сумме расходов денежных средств и иного имущества;</w:t>
      </w:r>
    </w:p>
    <w:p w:rsidR="000A082E" w:rsidRDefault="000A082E" w:rsidP="000A082E">
      <w:pPr>
        <w:pStyle w:val="ConsPlusNormal"/>
        <w:ind w:firstLine="709"/>
        <w:jc w:val="both"/>
      </w:pPr>
      <w:r>
        <w:t>численности работников общественного объединения, размерах оплаты их труда;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расходах</w:t>
      </w:r>
      <w:proofErr w:type="gramEnd"/>
      <w:r>
        <w:t xml:space="preserve"> на материально-техническое обеспечение;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использовании</w:t>
      </w:r>
      <w:proofErr w:type="gramEnd"/>
      <w:r>
        <w:t xml:space="preserve"> денежных средств и иного имущества;</w:t>
      </w:r>
    </w:p>
    <w:p w:rsidR="000A082E" w:rsidRDefault="000A082E" w:rsidP="000A082E">
      <w:pPr>
        <w:pStyle w:val="ConsPlusNormal"/>
        <w:ind w:firstLine="709"/>
        <w:jc w:val="both"/>
      </w:pPr>
      <w:bookmarkStart w:id="3" w:name="P33"/>
      <w:bookmarkEnd w:id="3"/>
      <w:r>
        <w:t>1.3. для фондов:</w:t>
      </w:r>
    </w:p>
    <w:p w:rsidR="000A082E" w:rsidRDefault="000A082E" w:rsidP="000A082E">
      <w:pPr>
        <w:pStyle w:val="ConsPlusNormal"/>
        <w:ind w:firstLine="709"/>
        <w:jc w:val="both"/>
      </w:pPr>
      <w:r>
        <w:t>1.3.1. отчетность об их деятельности содержит сведения о: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продолжении</w:t>
      </w:r>
      <w:proofErr w:type="gramEnd"/>
      <w:r>
        <w:t xml:space="preserve"> деятельности фонда с указанием места нахождения руководящего органа;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мероприятиях</w:t>
      </w:r>
      <w:proofErr w:type="gramEnd"/>
      <w:r>
        <w:t>, проведенных фондом в уставных целях за год;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количестве</w:t>
      </w:r>
      <w:proofErr w:type="gramEnd"/>
      <w:r>
        <w:t xml:space="preserve"> учредителей фонда;</w:t>
      </w:r>
    </w:p>
    <w:p w:rsidR="000A082E" w:rsidRDefault="000A082E" w:rsidP="000A082E">
      <w:pPr>
        <w:pStyle w:val="ConsPlusNormal"/>
        <w:ind w:firstLine="709"/>
        <w:jc w:val="both"/>
      </w:pPr>
      <w:r>
        <w:t>1.3.2. информация о поступлении денежных средств и иного имущества содержит сведения о стоимости имущества фонда, в том числе: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имуществе</w:t>
      </w:r>
      <w:proofErr w:type="gramEnd"/>
      <w:r>
        <w:t>, переданном учредителями (учредителем) фонда;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поступлениях</w:t>
      </w:r>
      <w:proofErr w:type="gramEnd"/>
      <w:r>
        <w:t xml:space="preserve"> от проводимых в соответствии с уставом фонда мероприятий;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доходах</w:t>
      </w:r>
      <w:proofErr w:type="gramEnd"/>
      <w:r>
        <w:t>, полученных от осуществляемой в соответствии с уставом фонда предпринимательской деятельности;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поступлениях</w:t>
      </w:r>
      <w:proofErr w:type="gramEnd"/>
      <w:r>
        <w:t xml:space="preserve"> от иностранных государств (организаций), международных организаций;</w:t>
      </w:r>
    </w:p>
    <w:p w:rsidR="000A082E" w:rsidRDefault="000A082E" w:rsidP="000A082E">
      <w:pPr>
        <w:pStyle w:val="ConsPlusNormal"/>
        <w:ind w:firstLine="709"/>
        <w:jc w:val="both"/>
      </w:pPr>
      <w:r>
        <w:t>иных не запрещенных законодательством поступлениях;</w:t>
      </w:r>
    </w:p>
    <w:p w:rsidR="000A082E" w:rsidRDefault="000A082E" w:rsidP="000A082E">
      <w:pPr>
        <w:pStyle w:val="ConsPlusNormal"/>
        <w:ind w:firstLine="709"/>
        <w:jc w:val="both"/>
      </w:pPr>
      <w:r>
        <w:t>1.3.3. информация о расходовании денежных средств и иного имущества содержит сведения о (</w:t>
      </w:r>
      <w:proofErr w:type="gramStart"/>
      <w:r>
        <w:t>об</w:t>
      </w:r>
      <w:proofErr w:type="gramEnd"/>
      <w:r>
        <w:t>):</w:t>
      </w:r>
    </w:p>
    <w:p w:rsidR="000A082E" w:rsidRDefault="000A082E" w:rsidP="000A082E">
      <w:pPr>
        <w:pStyle w:val="ConsPlusNormal"/>
        <w:ind w:firstLine="709"/>
        <w:jc w:val="both"/>
      </w:pPr>
      <w:r>
        <w:t>общей сумме расходов денежных средств и иного имущества;</w:t>
      </w:r>
    </w:p>
    <w:p w:rsidR="000A082E" w:rsidRDefault="000A082E" w:rsidP="000A082E">
      <w:pPr>
        <w:pStyle w:val="ConsPlusNormal"/>
        <w:ind w:firstLine="709"/>
        <w:jc w:val="both"/>
      </w:pPr>
      <w:r>
        <w:t>численности работников фонда, размерах оплаты их труда;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расходах</w:t>
      </w:r>
      <w:proofErr w:type="gramEnd"/>
      <w:r>
        <w:t xml:space="preserve"> на материально-техническое обеспечение;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использовании</w:t>
      </w:r>
      <w:proofErr w:type="gramEnd"/>
      <w:r>
        <w:t xml:space="preserve"> денежных средств и иного имущества;</w:t>
      </w:r>
    </w:p>
    <w:p w:rsidR="000A082E" w:rsidRDefault="000A082E" w:rsidP="000A082E">
      <w:pPr>
        <w:pStyle w:val="ConsPlusNormal"/>
        <w:ind w:firstLine="709"/>
        <w:jc w:val="both"/>
      </w:pPr>
      <w:proofErr w:type="gramStart"/>
      <w:r>
        <w:t>количестве</w:t>
      </w:r>
      <w:proofErr w:type="gramEnd"/>
      <w:r>
        <w:t xml:space="preserve"> унитарных предприятий, хозяйственных обществ, созданных фондом для осуществления предпринимательской деятельности, в том числе об участии фонда в таких юридических лицах;</w:t>
      </w:r>
    </w:p>
    <w:p w:rsidR="000A082E" w:rsidRDefault="000A082E" w:rsidP="000A082E">
      <w:pPr>
        <w:pStyle w:val="ConsPlusNormal"/>
        <w:ind w:firstLine="709"/>
        <w:jc w:val="both"/>
      </w:pPr>
      <w:bookmarkStart w:id="4" w:name="P50"/>
      <w:bookmarkEnd w:id="4"/>
      <w:r>
        <w:t>1.4. в случае, если информация (отчетность), указанная в </w:t>
      </w:r>
      <w:hyperlink w:anchor="P12" w:history="1">
        <w:r>
          <w:rPr>
            <w:color w:val="0000FF"/>
          </w:rPr>
          <w:t>подпункте 1.1</w:t>
        </w:r>
      </w:hyperlink>
      <w:r>
        <w:t xml:space="preserve"> настоящего пункта, предоставляется в орган юстиции, она:</w:t>
      </w:r>
    </w:p>
    <w:p w:rsidR="000A082E" w:rsidRDefault="000A082E" w:rsidP="000A082E">
      <w:pPr>
        <w:pStyle w:val="ConsPlusNormal"/>
        <w:ind w:firstLine="709"/>
        <w:jc w:val="both"/>
      </w:pPr>
      <w:r>
        <w:t>должна содержать только сведения, указанные в </w:t>
      </w:r>
      <w:hyperlink w:anchor="P15" w:history="1">
        <w:r>
          <w:rPr>
            <w:color w:val="0000FF"/>
          </w:rPr>
          <w:t>подпунктах 1.2</w:t>
        </w:r>
      </w:hyperlink>
      <w:r>
        <w:t xml:space="preserve"> и </w:t>
      </w:r>
      <w:hyperlink w:anchor="P33" w:history="1">
        <w:r>
          <w:rPr>
            <w:color w:val="0000FF"/>
          </w:rPr>
          <w:t>1.3</w:t>
        </w:r>
      </w:hyperlink>
      <w:r>
        <w:t xml:space="preserve"> настоящего пункта;</w:t>
      </w:r>
    </w:p>
    <w:p w:rsidR="000A082E" w:rsidRDefault="000A082E" w:rsidP="000A082E">
      <w:pPr>
        <w:pStyle w:val="ConsPlusNormal"/>
        <w:ind w:firstLine="709"/>
        <w:jc w:val="both"/>
      </w:pPr>
      <w:r>
        <w:t>должна быть грамотно, кратко и по существу изложена;</w:t>
      </w:r>
    </w:p>
    <w:p w:rsidR="000A082E" w:rsidRDefault="000A082E" w:rsidP="000A082E">
      <w:pPr>
        <w:pStyle w:val="ConsPlusNormal"/>
        <w:ind w:firstLine="709"/>
        <w:jc w:val="both"/>
      </w:pPr>
      <w:r>
        <w:t>не должна быть направлена на популяризацию деятельности, не связанной с целями и задачами общественного объединения и фонда;</w:t>
      </w:r>
    </w:p>
    <w:p w:rsidR="000A082E" w:rsidRDefault="000A082E" w:rsidP="000A082E">
      <w:pPr>
        <w:pStyle w:val="ConsPlusNormal"/>
        <w:ind w:firstLine="709"/>
        <w:jc w:val="both"/>
      </w:pPr>
      <w:r>
        <w:t>1.5. в случае несоответствия информации (отчетности), указанной в </w:t>
      </w:r>
      <w:hyperlink w:anchor="P12" w:history="1">
        <w:r>
          <w:rPr>
            <w:color w:val="0000FF"/>
          </w:rPr>
          <w:t>подпункте 1.1</w:t>
        </w:r>
      </w:hyperlink>
      <w:r>
        <w:t xml:space="preserve"> настоящего пункта, требованиям, указанным в </w:t>
      </w:r>
      <w:hyperlink w:anchor="P50" w:history="1">
        <w:r>
          <w:rPr>
            <w:color w:val="0000FF"/>
          </w:rPr>
          <w:t>подпункте 1.4</w:t>
        </w:r>
      </w:hyperlink>
      <w:r>
        <w:t xml:space="preserve"> настоящего пункта, орган юстиции не размещает ее на своем официальном сайте в глобальной компьютерной сети Интернет;</w:t>
      </w:r>
    </w:p>
    <w:p w:rsidR="000A082E" w:rsidRDefault="000A082E" w:rsidP="000A082E">
      <w:pPr>
        <w:pStyle w:val="ConsPlusNormal"/>
        <w:ind w:firstLine="709"/>
        <w:jc w:val="both"/>
      </w:pPr>
      <w:r>
        <w:t>1.6. достоверность сведений, указанных в </w:t>
      </w:r>
      <w:hyperlink w:anchor="P15" w:history="1">
        <w:r>
          <w:rPr>
            <w:color w:val="0000FF"/>
          </w:rPr>
          <w:t>подпунктах 1.2</w:t>
        </w:r>
      </w:hyperlink>
      <w:r>
        <w:t xml:space="preserve"> и </w:t>
      </w:r>
      <w:hyperlink w:anchor="P33" w:history="1">
        <w:r>
          <w:rPr>
            <w:color w:val="0000FF"/>
          </w:rPr>
          <w:t>1.3</w:t>
        </w:r>
      </w:hyperlink>
      <w:r>
        <w:t xml:space="preserve"> настоящего пункта, обеспечивается соответствующими общественными объединениями и фондами;</w:t>
      </w:r>
    </w:p>
    <w:p w:rsidR="000A082E" w:rsidRDefault="000A082E" w:rsidP="000A082E">
      <w:pPr>
        <w:pStyle w:val="ConsPlusNormal"/>
        <w:ind w:firstLine="709"/>
        <w:jc w:val="both"/>
      </w:pPr>
      <w:r>
        <w:t xml:space="preserve">1.7. документы, содержащие информацию (отчетность), указанную </w:t>
      </w:r>
      <w:r>
        <w:lastRenderedPageBreak/>
        <w:t>в </w:t>
      </w:r>
      <w:hyperlink w:anchor="P12" w:history="1">
        <w:r>
          <w:rPr>
            <w:color w:val="0000FF"/>
          </w:rPr>
          <w:t>подпункте 1.1</w:t>
        </w:r>
      </w:hyperlink>
      <w:r>
        <w:t xml:space="preserve"> настоящего пункта, подлежат постоянному хранению в соответствующем общественном объединении, фонде.</w:t>
      </w:r>
    </w:p>
    <w:p w:rsidR="000A082E" w:rsidRDefault="000A082E" w:rsidP="000A082E">
      <w:pPr>
        <w:pStyle w:val="ConsPlusNormal"/>
        <w:ind w:firstLine="709"/>
        <w:jc w:val="both"/>
      </w:pPr>
      <w:r>
        <w:t>2. Признать утратившим силу </w:t>
      </w:r>
      <w:hyperlink r:id="rId9" w:history="1">
        <w:r>
          <w:rPr>
            <w:color w:val="0000FF"/>
          </w:rPr>
          <w:t>постановление</w:t>
        </w:r>
      </w:hyperlink>
      <w:r>
        <w:t xml:space="preserve"> Министерства юстиции Республики Беларусь от 3 августа 2005 г. N 43 "О порядке опубликования и составе сведений, подлежащих отражению в отчете по использованию фондом своего имущества".</w:t>
      </w:r>
    </w:p>
    <w:p w:rsidR="000A082E" w:rsidRDefault="000A082E" w:rsidP="000A082E">
      <w:pPr>
        <w:pStyle w:val="ConsPlusNormal"/>
        <w:ind w:firstLine="709"/>
        <w:jc w:val="both"/>
      </w:pPr>
      <w:r>
        <w:t>3. Настоящее постановление вступает в силу с 20 ноября 2020 г.</w:t>
      </w:r>
    </w:p>
    <w:p w:rsidR="000A082E" w:rsidRDefault="000A082E" w:rsidP="000A082E">
      <w:pPr>
        <w:pStyle w:val="ConsPlusNormal"/>
        <w:ind w:firstLine="709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3"/>
        <w:gridCol w:w="5156"/>
      </w:tblGrid>
      <w:tr w:rsidR="000A082E"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0A082E" w:rsidRDefault="000A082E" w:rsidP="000A082E">
            <w:pPr>
              <w:pStyle w:val="ConsPlusNormal"/>
              <w:ind w:firstLine="709"/>
            </w:pPr>
            <w:r>
              <w:t>Министр</w:t>
            </w:r>
          </w:p>
        </w:tc>
        <w:tc>
          <w:tcPr>
            <w:tcW w:w="5593" w:type="dxa"/>
            <w:tcBorders>
              <w:top w:val="nil"/>
              <w:left w:val="nil"/>
              <w:bottom w:val="nil"/>
              <w:right w:val="nil"/>
            </w:tcBorders>
          </w:tcPr>
          <w:p w:rsidR="000A082E" w:rsidRDefault="000A082E" w:rsidP="000A082E">
            <w:pPr>
              <w:pStyle w:val="ConsPlusNormal"/>
              <w:ind w:firstLine="709"/>
              <w:jc w:val="right"/>
            </w:pPr>
            <w:proofErr w:type="spellStart"/>
            <w:r>
              <w:t>О.Л.Слижевский</w:t>
            </w:r>
            <w:proofErr w:type="spellEnd"/>
          </w:p>
        </w:tc>
      </w:tr>
    </w:tbl>
    <w:p w:rsidR="000A082E" w:rsidRDefault="000A082E" w:rsidP="000A082E">
      <w:pPr>
        <w:pStyle w:val="ConsPlusNormal"/>
        <w:ind w:firstLine="709"/>
      </w:pPr>
    </w:p>
    <w:p w:rsidR="000A082E" w:rsidRDefault="000A082E" w:rsidP="000A082E">
      <w:pPr>
        <w:pStyle w:val="ConsPlusNormal"/>
        <w:ind w:firstLine="709"/>
      </w:pPr>
    </w:p>
    <w:p w:rsidR="000A082E" w:rsidRDefault="000A082E" w:rsidP="000A082E">
      <w:pPr>
        <w:pStyle w:val="ConsPlusNormal"/>
        <w:pBdr>
          <w:top w:val="single" w:sz="6" w:space="0" w:color="auto"/>
        </w:pBdr>
        <w:ind w:firstLine="709"/>
        <w:jc w:val="both"/>
        <w:rPr>
          <w:sz w:val="2"/>
          <w:szCs w:val="2"/>
        </w:rPr>
      </w:pPr>
    </w:p>
    <w:p w:rsidR="00D37D80" w:rsidRDefault="00D37D80" w:rsidP="000A082E">
      <w:pPr>
        <w:ind w:firstLine="709"/>
      </w:pPr>
    </w:p>
    <w:sectPr w:rsidR="00D37D80" w:rsidSect="000A082E">
      <w:headerReference w:type="default" r:id="rId10"/>
      <w:pgSz w:w="11900" w:h="16840" w:code="9"/>
      <w:pgMar w:top="1134" w:right="567" w:bottom="567" w:left="1134" w:header="0" w:footer="6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82E" w:rsidRDefault="000A082E" w:rsidP="000A082E">
      <w:r>
        <w:separator/>
      </w:r>
    </w:p>
  </w:endnote>
  <w:endnote w:type="continuationSeparator" w:id="0">
    <w:p w:rsidR="000A082E" w:rsidRDefault="000A082E" w:rsidP="000A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82E" w:rsidRDefault="000A082E" w:rsidP="000A082E">
      <w:r>
        <w:separator/>
      </w:r>
    </w:p>
  </w:footnote>
  <w:footnote w:type="continuationSeparator" w:id="0">
    <w:p w:rsidR="000A082E" w:rsidRDefault="000A082E" w:rsidP="000A0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4007735"/>
      <w:docPartObj>
        <w:docPartGallery w:val="Page Numbers (Top of Page)"/>
        <w:docPartUnique/>
      </w:docPartObj>
    </w:sdtPr>
    <w:sdtContent>
      <w:p w:rsidR="000A082E" w:rsidRDefault="000A082E">
        <w:pPr>
          <w:pStyle w:val="a3"/>
          <w:jc w:val="center"/>
        </w:pPr>
      </w:p>
      <w:p w:rsidR="000A082E" w:rsidRDefault="000A08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82E"/>
    <w:rsid w:val="000A082E"/>
    <w:rsid w:val="004353A5"/>
    <w:rsid w:val="008B6429"/>
    <w:rsid w:val="00A83402"/>
    <w:rsid w:val="00C857B7"/>
    <w:rsid w:val="00D3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8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08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A082E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8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82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A08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82E"/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7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08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A082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0A082E"/>
    <w:pPr>
      <w:widowControl w:val="0"/>
      <w:autoSpaceDE w:val="0"/>
      <w:autoSpaceDN w:val="0"/>
      <w:spacing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082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082E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0A082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082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5BB2053FF8BCA5F2A73EF9EB191C642ADBFB298CFE6F67D1D4F2E48ED936F0B562E7E43AA39CD00C669CAD2BC4455B9DA8C80C807834ADDCFB0BD9DF6BAe0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B2053FF8BCA5F2A73EF9EB191C642ADBFB298CFE6FC7D1F402248ED936F0B562E7E43AA39CD00C669CAD1BF4055B9DA8C80C807834ADDCFB0BD9DF6BAe0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5BB2053FF8BCA5F2A73EF9EB191C642ADBFB298CFE2F27A13422D15E79B36075429711CAF3EDC00C661D4D5BB5F5CED89BCe8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866</Words>
  <Characters>4941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Виолетта В. Корчагина</dc:creator>
  <cp:lastModifiedBy>Виолетта В. Корчагина</cp:lastModifiedBy>
  <cp:revision>1</cp:revision>
  <dcterms:created xsi:type="dcterms:W3CDTF">2020-12-18T13:30:00Z</dcterms:created>
  <dcterms:modified xsi:type="dcterms:W3CDTF">2020-12-18T13:50:00Z</dcterms:modified>
</cp:coreProperties>
</file>